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3A2F5110" w:rsidR="00453779" w:rsidRPr="00B13C6D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="00F40D5E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D75B0B" w:rsidRPr="00B13C6D">
        <w:rPr>
          <w:b/>
          <w:noProof/>
          <w:sz w:val="24"/>
          <w:szCs w:val="24"/>
        </w:rPr>
        <w:t>R2-1</w:t>
      </w:r>
      <w:r w:rsidR="00731E97" w:rsidRPr="00B13C6D">
        <w:rPr>
          <w:b/>
          <w:noProof/>
          <w:sz w:val="24"/>
          <w:szCs w:val="24"/>
        </w:rPr>
        <w:t>9</w:t>
      </w:r>
      <w:r w:rsidR="00C37451" w:rsidRPr="00B13C6D">
        <w:rPr>
          <w:b/>
          <w:noProof/>
          <w:sz w:val="24"/>
          <w:szCs w:val="24"/>
        </w:rPr>
        <w:t>0</w:t>
      </w:r>
      <w:r w:rsidR="00AB1526">
        <w:rPr>
          <w:b/>
          <w:noProof/>
          <w:sz w:val="24"/>
          <w:szCs w:val="24"/>
        </w:rPr>
        <w:t>3419</w:t>
      </w:r>
    </w:p>
    <w:p w14:paraId="4288D712" w14:textId="495E646A" w:rsidR="00B13C6D" w:rsidRPr="00B13C6D" w:rsidRDefault="00F40D5E" w:rsidP="00B13C6D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F40D5E">
        <w:rPr>
          <w:b/>
          <w:noProof/>
          <w:sz w:val="24"/>
        </w:rPr>
        <w:t>Xi’an, China, 08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- 12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April 2019</w:t>
      </w:r>
      <w:r w:rsidR="00B13C6D" w:rsidRPr="00B13C6D">
        <w:rPr>
          <w:b/>
          <w:noProof/>
          <w:sz w:val="24"/>
          <w:szCs w:val="24"/>
        </w:rPr>
        <w:t xml:space="preserve"> </w:t>
      </w:r>
      <w:r w:rsidR="00B13C6D">
        <w:rPr>
          <w:b/>
          <w:noProof/>
          <w:sz w:val="24"/>
          <w:szCs w:val="24"/>
        </w:rPr>
        <w:tab/>
      </w:r>
    </w:p>
    <w:p w14:paraId="05248F78" w14:textId="4102EEB6" w:rsidR="00453779" w:rsidRPr="00B13C6D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2D4CF4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40D5E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F40D5E">
        <w:rPr>
          <w:rFonts w:ascii="Arial" w:hAnsi="Arial" w:cs="Arial"/>
          <w:b/>
        </w:rPr>
        <w:t>]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790CF4">
        <w:rPr>
          <w:rFonts w:ascii="Arial" w:hAnsi="Arial" w:cs="Arial"/>
        </w:rPr>
        <w:t>MO/</w:t>
      </w:r>
      <w:r w:rsidR="00E03E96">
        <w:rPr>
          <w:rFonts w:ascii="Arial" w:hAnsi="Arial" w:cs="Arial"/>
        </w:rPr>
        <w:t xml:space="preserve">MT service type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  <w:bookmarkStart w:id="0" w:name="_GoBack"/>
      <w:bookmarkEnd w:id="0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5AAB4AF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1B906B" w14:textId="1B0080A0" w:rsidR="00E03E96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RAN2#105</w:t>
      </w:r>
      <w:r w:rsidR="00E03E96">
        <w:rPr>
          <w:rFonts w:ascii="Arial" w:hAnsi="Arial" w:cs="Arial"/>
          <w:lang w:val="en-US"/>
        </w:rPr>
        <w:t>bis</w:t>
      </w:r>
      <w:r>
        <w:rPr>
          <w:rFonts w:ascii="Arial" w:hAnsi="Arial" w:cs="Arial"/>
          <w:lang w:val="en-US"/>
        </w:rPr>
        <w:t xml:space="preserve">, </w:t>
      </w:r>
      <w:r w:rsidR="00E03E96">
        <w:rPr>
          <w:rFonts w:ascii="Arial" w:hAnsi="Arial" w:cs="Arial"/>
          <w:lang w:val="en-US"/>
        </w:rPr>
        <w:t xml:space="preserve">WUS sub-grouping was discussed. From RAN2 point of view, </w:t>
      </w:r>
      <w:r w:rsidR="00C15ED5">
        <w:rPr>
          <w:rFonts w:ascii="Arial" w:hAnsi="Arial" w:cs="Arial"/>
          <w:lang w:val="en-US"/>
        </w:rPr>
        <w:t xml:space="preserve">in order to reduce false alarm probability </w:t>
      </w:r>
      <w:r w:rsidR="00C15ED5" w:rsidRPr="00C15ED5">
        <w:rPr>
          <w:rFonts w:ascii="Arial" w:hAnsi="Arial" w:cs="Arial"/>
          <w:lang w:val="en-US"/>
        </w:rPr>
        <w:t xml:space="preserve">of the UEs who </w:t>
      </w:r>
      <w:r w:rsidR="00BA759D">
        <w:rPr>
          <w:rFonts w:ascii="Arial" w:hAnsi="Arial" w:cs="Arial"/>
          <w:lang w:val="en-US"/>
        </w:rPr>
        <w:t>are not</w:t>
      </w:r>
      <w:r w:rsidR="00C15ED5" w:rsidRPr="00C15ED5">
        <w:rPr>
          <w:rFonts w:ascii="Arial" w:hAnsi="Arial" w:cs="Arial"/>
          <w:lang w:val="en-US"/>
        </w:rPr>
        <w:t xml:space="preserve"> paged very frequently</w:t>
      </w:r>
      <w:r w:rsidR="00C15ED5">
        <w:rPr>
          <w:rFonts w:ascii="Arial" w:hAnsi="Arial" w:cs="Arial"/>
          <w:lang w:val="en-US"/>
        </w:rPr>
        <w:t>,</w:t>
      </w:r>
      <w:r w:rsidR="00C15ED5" w:rsidRPr="00C15ED5">
        <w:rPr>
          <w:rFonts w:ascii="Arial" w:hAnsi="Arial" w:cs="Arial"/>
          <w:lang w:val="en-US"/>
        </w:rPr>
        <w:t xml:space="preserve"> </w:t>
      </w:r>
      <w:r w:rsidR="00E03E96">
        <w:rPr>
          <w:rFonts w:ascii="Arial" w:hAnsi="Arial" w:cs="Arial"/>
          <w:lang w:val="en-US"/>
        </w:rPr>
        <w:t xml:space="preserve">it is beneficial to group </w:t>
      </w:r>
      <w:r w:rsidR="00BA759D">
        <w:rPr>
          <w:rFonts w:ascii="Arial" w:hAnsi="Arial" w:cs="Arial"/>
          <w:lang w:val="en-US"/>
        </w:rPr>
        <w:t xml:space="preserve">separately </w:t>
      </w:r>
      <w:r w:rsidR="00E03E96">
        <w:rPr>
          <w:rFonts w:ascii="Arial" w:hAnsi="Arial" w:cs="Arial"/>
          <w:lang w:val="en-US"/>
        </w:rPr>
        <w:t xml:space="preserve">the UEs </w:t>
      </w:r>
      <w:r w:rsidR="00BA759D">
        <w:rPr>
          <w:rFonts w:ascii="Arial" w:hAnsi="Arial" w:cs="Arial"/>
          <w:lang w:val="en-US"/>
        </w:rPr>
        <w:t xml:space="preserve">that are paged frequently and the UE that are not. 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 w:rsidR="00BA759D">
        <w:rPr>
          <w:rFonts w:ascii="Arial" w:hAnsi="Arial" w:cs="Arial"/>
          <w:lang w:val="en-US"/>
        </w:rPr>
        <w:t xml:space="preserve">a </w:t>
      </w:r>
      <w:r w:rsidR="00E03E96">
        <w:rPr>
          <w:rFonts w:ascii="Arial" w:hAnsi="Arial" w:cs="Arial"/>
          <w:lang w:val="en-US"/>
        </w:rPr>
        <w:t>MO/MT service type</w:t>
      </w:r>
      <w:r w:rsidR="00C15ED5">
        <w:rPr>
          <w:rFonts w:ascii="Arial" w:hAnsi="Arial" w:cs="Arial"/>
          <w:lang w:val="en-US"/>
        </w:rPr>
        <w:t xml:space="preserve"> indication</w:t>
      </w:r>
      <w:r w:rsidR="00BA759D">
        <w:rPr>
          <w:rFonts w:ascii="Arial" w:hAnsi="Arial" w:cs="Arial"/>
          <w:lang w:val="en-US"/>
        </w:rPr>
        <w:t xml:space="preserve"> indicating whether </w:t>
      </w:r>
      <w:r w:rsidR="00C15ED5" w:rsidRPr="00C15ED5">
        <w:rPr>
          <w:rFonts w:ascii="Arial" w:hAnsi="Arial" w:cs="Arial"/>
          <w:lang w:val="en-US"/>
        </w:rPr>
        <w:t xml:space="preserve">the </w:t>
      </w:r>
      <w:r w:rsidR="00BA759D">
        <w:rPr>
          <w:rFonts w:ascii="Arial" w:hAnsi="Arial" w:cs="Arial"/>
          <w:lang w:val="en-US"/>
        </w:rPr>
        <w:t>basic</w:t>
      </w:r>
      <w:r w:rsidR="00BA759D" w:rsidRPr="00C15ED5">
        <w:rPr>
          <w:rFonts w:ascii="Arial" w:hAnsi="Arial" w:cs="Arial"/>
          <w:lang w:val="en-US"/>
        </w:rPr>
        <w:t xml:space="preserve"> </w:t>
      </w:r>
      <w:r w:rsidR="00C15ED5" w:rsidRPr="00C15ED5">
        <w:rPr>
          <w:rFonts w:ascii="Arial" w:hAnsi="Arial" w:cs="Arial"/>
          <w:lang w:val="en-US"/>
        </w:rPr>
        <w:t>service of the UE is uplink triggered</w:t>
      </w:r>
      <w:r w:rsidR="00BA759D">
        <w:rPr>
          <w:rFonts w:ascii="Arial" w:hAnsi="Arial" w:cs="Arial"/>
          <w:lang w:val="en-US"/>
        </w:rPr>
        <w:t xml:space="preserve"> or downlink triggered</w:t>
      </w:r>
      <w:r w:rsidR="00C15ED5">
        <w:rPr>
          <w:rFonts w:ascii="Arial" w:hAnsi="Arial" w:cs="Arial"/>
          <w:lang w:val="en-US"/>
        </w:rPr>
        <w:t>.</w:t>
      </w:r>
    </w:p>
    <w:p w14:paraId="5DD5F8B8" w14:textId="77777777" w:rsidR="00C15ED5" w:rsidRDefault="00C15ED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8114B9B" w14:textId="74B56FAB" w:rsidR="0053142C" w:rsidRDefault="0053142C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BA759D">
        <w:rPr>
          <w:rFonts w:ascii="Arial" w:hAnsi="Arial" w:cs="Arial"/>
          <w:lang w:val="en-US"/>
        </w:rPr>
        <w:t>whether</w:t>
      </w:r>
      <w:r w:rsidR="00BA759D" w:rsidRPr="0053142C">
        <w:rPr>
          <w:rFonts w:ascii="Arial" w:hAnsi="Arial" w:cs="Arial"/>
          <w:lang w:val="en-US"/>
        </w:rPr>
        <w:t xml:space="preserve"> </w:t>
      </w:r>
      <w:r w:rsidRPr="0053142C">
        <w:rPr>
          <w:rFonts w:ascii="Arial" w:hAnsi="Arial" w:cs="Arial"/>
          <w:lang w:val="en-US"/>
        </w:rPr>
        <w:t xml:space="preserve">it is feasible to define </w:t>
      </w:r>
      <w:r w:rsidR="00BA759D">
        <w:rPr>
          <w:rFonts w:ascii="Arial" w:hAnsi="Arial" w:cs="Arial"/>
          <w:lang w:val="en-US"/>
        </w:rPr>
        <w:t xml:space="preserve">such an </w:t>
      </w:r>
      <w:r w:rsidR="003C45D0">
        <w:rPr>
          <w:rFonts w:ascii="Arial" w:hAnsi="Arial" w:cs="Arial"/>
          <w:lang w:val="en-US"/>
        </w:rPr>
        <w:t xml:space="preserve">indication </w:t>
      </w:r>
      <w:r w:rsidR="00BA759D">
        <w:rPr>
          <w:rFonts w:ascii="Arial" w:hAnsi="Arial" w:cs="Arial"/>
          <w:lang w:val="en-US"/>
        </w:rPr>
        <w:t xml:space="preserve">and how it could be </w:t>
      </w:r>
      <w:r w:rsidR="003C45D0">
        <w:rPr>
          <w:rFonts w:ascii="Arial" w:hAnsi="Arial" w:cs="Arial"/>
          <w:lang w:val="en-US"/>
        </w:rPr>
        <w:t>negotiate</w:t>
      </w:r>
      <w:r w:rsidR="00BA759D">
        <w:rPr>
          <w:rFonts w:ascii="Arial" w:hAnsi="Arial" w:cs="Arial"/>
          <w:lang w:val="en-US"/>
        </w:rPr>
        <w:t>d</w:t>
      </w:r>
      <w:r w:rsidR="003C45D0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>between the UE and the MME</w:t>
      </w:r>
      <w:r w:rsidRPr="0053142C"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3B0F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</w:t>
      </w:r>
      <w:r w:rsidR="00FC1DAA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503A5435" w14:textId="49635885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feedback on </w:t>
      </w:r>
      <w:r w:rsidR="00E03E96">
        <w:rPr>
          <w:rFonts w:ascii="Arial" w:hAnsi="Arial" w:cs="Arial"/>
          <w:lang w:val="en-US"/>
        </w:rPr>
        <w:t xml:space="preserve">the </w:t>
      </w:r>
      <w:r w:rsidR="00C15ED5">
        <w:rPr>
          <w:rFonts w:ascii="Arial" w:hAnsi="Arial" w:cs="Arial"/>
          <w:lang w:val="en-US"/>
        </w:rPr>
        <w:t>feasibility</w:t>
      </w:r>
      <w:r w:rsidR="00E03E96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 xml:space="preserve">of </w:t>
      </w:r>
      <w:r w:rsidR="0053142C">
        <w:rPr>
          <w:rFonts w:ascii="Arial" w:hAnsi="Arial" w:cs="Arial"/>
          <w:lang w:val="en-US"/>
        </w:rPr>
        <w:t>defining</w:t>
      </w:r>
      <w:r w:rsidR="00E03E96">
        <w:rPr>
          <w:rFonts w:ascii="Arial" w:hAnsi="Arial" w:cs="Arial"/>
          <w:lang w:val="en-US"/>
        </w:rPr>
        <w:t>/</w:t>
      </w:r>
      <w:r w:rsidR="0053142C">
        <w:rPr>
          <w:rFonts w:ascii="Arial" w:hAnsi="Arial" w:cs="Arial"/>
          <w:lang w:val="en-US"/>
        </w:rPr>
        <w:t>providing</w:t>
      </w:r>
      <w:r w:rsidR="00E03E96">
        <w:rPr>
          <w:rFonts w:ascii="Arial" w:hAnsi="Arial" w:cs="Arial"/>
          <w:lang w:val="en-US"/>
        </w:rPr>
        <w:t xml:space="preserve"> </w:t>
      </w:r>
      <w:r w:rsidR="00052803">
        <w:rPr>
          <w:rFonts w:ascii="Arial" w:hAnsi="Arial" w:cs="Arial"/>
          <w:lang w:val="en-US"/>
        </w:rPr>
        <w:t>such an</w:t>
      </w:r>
      <w:r w:rsidR="00A83E52">
        <w:rPr>
          <w:rFonts w:ascii="Arial" w:hAnsi="Arial" w:cs="Arial"/>
          <w:lang w:val="en-US"/>
        </w:rPr>
        <w:t xml:space="preserve"> </w:t>
      </w:r>
      <w:r w:rsidR="00E03E96">
        <w:rPr>
          <w:rFonts w:ascii="Arial" w:hAnsi="Arial" w:cs="Arial"/>
          <w:lang w:val="en-US"/>
        </w:rPr>
        <w:t>indication, for both NB-</w:t>
      </w:r>
      <w:proofErr w:type="spellStart"/>
      <w:r w:rsidR="00E03E96">
        <w:rPr>
          <w:rFonts w:ascii="Arial" w:hAnsi="Arial" w:cs="Arial"/>
          <w:lang w:val="en-US"/>
        </w:rPr>
        <w:t>IoT</w:t>
      </w:r>
      <w:proofErr w:type="spellEnd"/>
      <w:r w:rsidR="00E03E96">
        <w:rPr>
          <w:rFonts w:ascii="Arial" w:hAnsi="Arial" w:cs="Arial"/>
          <w:lang w:val="en-US"/>
        </w:rPr>
        <w:t xml:space="preserve"> and </w:t>
      </w:r>
      <w:proofErr w:type="spellStart"/>
      <w:r w:rsidR="00E03E96">
        <w:rPr>
          <w:rFonts w:ascii="Arial" w:hAnsi="Arial" w:cs="Arial"/>
          <w:lang w:val="en-US"/>
        </w:rPr>
        <w:t>eMTC</w:t>
      </w:r>
      <w:proofErr w:type="spellEnd"/>
      <w:r w:rsidR="00B8050A" w:rsidRPr="00B96B27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9A46CE9" w14:textId="26D62A53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 w:rsidR="00587289">
        <w:rPr>
          <w:rFonts w:ascii="Arial" w:hAnsi="Arial" w:cs="Arial"/>
          <w:bCs/>
        </w:rPr>
        <w:t>Reno</w:t>
      </w:r>
      <w:r w:rsidR="00F40D5E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>.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77777777" w:rsidR="00C95E33" w:rsidRPr="00F40D5E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245C2" w14:textId="77777777" w:rsidR="00EB380B" w:rsidRDefault="00EB380B">
      <w:r>
        <w:separator/>
      </w:r>
    </w:p>
  </w:endnote>
  <w:endnote w:type="continuationSeparator" w:id="0">
    <w:p w14:paraId="1CD7F823" w14:textId="77777777" w:rsidR="00EB380B" w:rsidRDefault="00EB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4BD00" w14:textId="77777777" w:rsidR="00EB380B" w:rsidRDefault="00EB380B">
      <w:r>
        <w:separator/>
      </w:r>
    </w:p>
  </w:footnote>
  <w:footnote w:type="continuationSeparator" w:id="0">
    <w:p w14:paraId="45595446" w14:textId="77777777" w:rsidR="00EB380B" w:rsidRDefault="00EB3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52803"/>
    <w:rsid w:val="000D113A"/>
    <w:rsid w:val="000F12FD"/>
    <w:rsid w:val="000F4133"/>
    <w:rsid w:val="00100273"/>
    <w:rsid w:val="001020CF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C45D0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F11820"/>
    <w:rsid w:val="00F17587"/>
    <w:rsid w:val="00F23FFC"/>
    <w:rsid w:val="00F40D5E"/>
    <w:rsid w:val="00F54C66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E03E9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6</cp:revision>
  <cp:lastPrinted>2002-04-23T00:10:00Z</cp:lastPrinted>
  <dcterms:created xsi:type="dcterms:W3CDTF">2019-03-27T10:12:00Z</dcterms:created>
  <dcterms:modified xsi:type="dcterms:W3CDTF">2019-03-28T06:46:00Z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(3)o1ZxzBBOtvUAY6+2EvwCWBUZhZ/Hi/j745mri2bgVBdY+rWhp1YpP9VVWy/kUL3hYqEPop2J
TXUWtIR5lo3XblIfuNSqSLjQ1IQ/yCNd/xzEnAz/kDyJCG1dtxfIjCAwNVyRaRZFZJTa06xj
yNVAplpxsII+RWVeiViIVQh1x9FJfX1z0lniZ9HvCR+PIXPSDNcJfJq5Z2Q80WPA8JUUdFtE
zpXo9UJeDC1KSDGHZ6</vt:lpwstr>
  </property>
  <property fmtid="{D5CDD505-2E9C-101B-9397-08002B2CF9AE}" pid="3" name="_2015_ms_pID_7253431">
    <vt:lpwstr>2Cl8WVAQwyiQcgOZeqD1GHYiIpm61tDrpzsd5xwsObA059TOul1Gao
fp9YT689XAhneKkQoXcMG54Ck182gNIVrL0BYYHOiVr2sJAmOZexS1V7Qvy+EL9xqtB67ybm
j6cBkyrP++wxn+AJcizvVmPdQPkI42q/j05iFKZR75H6n7FZfJBPlZhGv9q2qiJEgetDooO7
pfmjfQNuhDBYpMmrgro1PcsMXcn4F3i1D1nw</vt:lpwstr>
  </property>
  <property fmtid="{D5CDD505-2E9C-101B-9397-08002B2CF9AE}" pid="4" name="_2015_ms_pID_7253432">
    <vt:lpwstr>10XrlFCzXgBUJuF/0sm1rQs=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1553678206</vt:lpwstr>
  </property>
</Properties>
</file>